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r w:rsidRPr="00A21342">
        <w:rPr>
          <w:rFonts w:ascii="Arial" w:hAnsi="Arial" w:cs="Arial"/>
          <w:color w:val="auto"/>
        </w:rPr>
        <w:fldChar w:fldCharType="begin"/>
      </w:r>
      <w:r w:rsidRPr="00A21342">
        <w:rPr>
          <w:rFonts w:ascii="Arial" w:hAnsi="Arial" w:cs="Arial"/>
          <w:color w:val="auto"/>
        </w:rPr>
        <w:instrText xml:space="preserve"> HYPERLINK "https://dfo.kz/ru/DfoObjects/objects/teaser-view/25735?RevisionId=0&amp;PluginId=30735b3a096446d4adef7ac8c90deecf&amp;ReportId=60357172" </w:instrText>
      </w:r>
      <w:r w:rsidRPr="00A21342">
        <w:rPr>
          <w:rFonts w:ascii="Arial" w:hAnsi="Arial" w:cs="Arial"/>
          <w:color w:val="auto"/>
        </w:rPr>
        <w:fldChar w:fldCharType="separate"/>
      </w:r>
      <w:r w:rsidR="00C047DE" w:rsidRPr="00A21342">
        <w:rPr>
          <w:rStyle w:val="a3"/>
          <w:rFonts w:ascii="Arial" w:hAnsi="Arial" w:cs="Arial"/>
          <w:color w:val="auto"/>
          <w:u w:val="none"/>
        </w:rPr>
        <w:t>11.09.2015 16:53</w:t>
      </w:r>
      <w:r w:rsidRPr="00A21342">
        <w:rPr>
          <w:rStyle w:val="a3"/>
          <w:rFonts w:ascii="Arial" w:hAnsi="Arial" w:cs="Arial"/>
          <w:color w:val="auto"/>
          <w:u w:val="none"/>
        </w:rPr>
        <w:fldChar w:fldCharType="end"/>
      </w:r>
      <w:r w:rsidR="00C047DE" w:rsidRPr="00A21342">
        <w:rPr>
          <w:rStyle w:val="report-content-info"/>
          <w:rFonts w:ascii="Arial" w:hAnsi="Arial" w:cs="Arial"/>
          <w:color w:val="auto"/>
        </w:rPr>
        <w:t xml:space="preserve"> НБ РК 03.09.2015 г. утвердил отчет об итогах размещения облигаций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6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04.09.2015 18:09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организации):;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7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24.08.2015 16:31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Совет директоров АО «Аграрная кредитная корпорация» 20.08.2015 г. принял решение осуществить первый выпуск облигаций на сумму 30 000 000 000 (тридцать миллиардов) тенге в пределах третьей облигационной программы на сумму 150 000 000 000 (сто пятьдесят миллиардов) тенге.;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8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05.08.2015 09:32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 решениях общего собрания акционеров (участников) эмитента.;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9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29.07.2015 16:54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в проспект выпуска эмиссионных ценных бумаг.;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0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29.07.2015 16:51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в проспект выпуска эмиссионных ценных бумаг.;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1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29.07.2015 16:47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в проспект выпуска эмиссионных ценных бумаг.;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2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14.07.2015 15:59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организации).;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3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03.07.2015 17:16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Национальный Банк РК 19.06.2015 г. зарегистрировал изменения и дополнения в проспект первой облигационной программы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4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03.07.2015 17:13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Национальный Банк РК 19.06.2015 г. зарегистрировал изменения и дополнения в проспект второй облигационной программы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5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03.07.2015 17:10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Национальный Банк РК 19.06.2015 г. зарегистрировал изменения и дополнения в проспект выпуска акций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6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01.07.2015 16:45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 совершении акционерным обществом крупных сделок и сделок, в совершении которых обществом имеется заинтересованность.;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7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30.06.2015 18:03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состава органов эмитента.;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8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30.06.2015 11:37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состава органов эмитента.;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19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23.06.2015 11:41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состава органов эмитента.;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0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23.06.2015 11:34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Информация об изменении состава органов эмитента;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1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12.06.2015 15:02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Об утверждений финансовой отчетности и порядка распределения чистого дохода АО «Аграрная кредитная корпорация» за 2014 год, о выплате либо невыплате дивидендов по простым акциям и об утверждении размера дивиденда в расчете на одну простую акцию, согласно решения Правления – Единственного акционера АО «Холдинг «КазАгро» № 34.;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2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10.06.2015 19:20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НБ РК 29.05.2015 г. уведомил об аннулировании второго выпуска облигаций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3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10.06.2015 16:51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НБ РК 02.06.2015 г. утвердил отчет об итогах размещения облигаций первого выпуска, выпущенных в пределах второй облигационной программы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4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05.06.2015 09:38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О продлении срока полномочий Совета директоров АО «Аграрная кредитная корпорация» согласно решения Правления – Единственного акционера АО «Холдинг «КазАгро» № 32;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5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03.06.2015 15:29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НБ РК 29.05.2015 г. зарегистрировал облигации второго выпуска в пределах второй облигационной программы АО «Аграрная кредитная корпорация».;</w:t>
      </w:r>
    </w:p>
    <w:p w:rsidR="00C047DE" w:rsidRPr="00A21342" w:rsidRDefault="00A21342" w:rsidP="00C047DE">
      <w:pPr>
        <w:numPr>
          <w:ilvl w:val="0"/>
          <w:numId w:val="1"/>
        </w:numPr>
        <w:shd w:val="clear" w:color="auto" w:fill="F5F5F5"/>
        <w:ind w:left="0"/>
        <w:rPr>
          <w:rFonts w:ascii="Arial" w:hAnsi="Arial" w:cs="Arial"/>
          <w:color w:val="auto"/>
        </w:rPr>
      </w:pPr>
      <w:hyperlink r:id="rId26" w:history="1">
        <w:r w:rsidR="00C047DE" w:rsidRPr="00A21342">
          <w:rPr>
            <w:rStyle w:val="a3"/>
            <w:rFonts w:ascii="Arial" w:hAnsi="Arial" w:cs="Arial"/>
            <w:color w:val="auto"/>
            <w:u w:val="none"/>
          </w:rPr>
          <w:t>03.06.2015 10:58</w:t>
        </w:r>
      </w:hyperlink>
      <w:r w:rsidR="00C047DE" w:rsidRPr="00A21342">
        <w:rPr>
          <w:rStyle w:val="report-node"/>
          <w:rFonts w:ascii="Arial" w:hAnsi="Arial" w:cs="Arial"/>
          <w:color w:val="auto"/>
        </w:rPr>
        <w:t xml:space="preserve"> </w:t>
      </w:r>
      <w:r w:rsidR="00C047DE" w:rsidRPr="00A21342">
        <w:rPr>
          <w:rStyle w:val="report-content-info"/>
          <w:rFonts w:ascii="Arial" w:hAnsi="Arial" w:cs="Arial"/>
          <w:color w:val="auto"/>
        </w:rPr>
        <w:t>О досрочном прекращении полномочий Председателя Правления АО «Аграрная кредитная корпорация»;</w:t>
      </w:r>
    </w:p>
    <w:bookmarkEnd w:id="0"/>
    <w:p w:rsidR="00305447" w:rsidRPr="00A21342" w:rsidRDefault="00305447">
      <w:pPr>
        <w:rPr>
          <w:rFonts w:ascii="Arial" w:hAnsi="Arial" w:cs="Arial"/>
          <w:color w:val="auto"/>
        </w:rPr>
      </w:pPr>
    </w:p>
    <w:sectPr w:rsidR="00305447" w:rsidRPr="00A2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81D"/>
    <w:multiLevelType w:val="multilevel"/>
    <w:tmpl w:val="D81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7A"/>
    <w:rsid w:val="001551B9"/>
    <w:rsid w:val="00305447"/>
    <w:rsid w:val="00A21342"/>
    <w:rsid w:val="00A40E7A"/>
    <w:rsid w:val="00C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DE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E"/>
    <w:rPr>
      <w:color w:val="CF0002"/>
      <w:u w:val="single"/>
    </w:rPr>
  </w:style>
  <w:style w:type="character" w:customStyle="1" w:styleId="report-node">
    <w:name w:val="report-node"/>
    <w:basedOn w:val="a0"/>
    <w:rsid w:val="00C047DE"/>
  </w:style>
  <w:style w:type="character" w:customStyle="1" w:styleId="report-content-info">
    <w:name w:val="report-content-info"/>
    <w:basedOn w:val="a0"/>
    <w:rsid w:val="00C0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DE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E"/>
    <w:rPr>
      <w:color w:val="CF0002"/>
      <w:u w:val="single"/>
    </w:rPr>
  </w:style>
  <w:style w:type="character" w:customStyle="1" w:styleId="report-node">
    <w:name w:val="report-node"/>
    <w:basedOn w:val="a0"/>
    <w:rsid w:val="00C047DE"/>
  </w:style>
  <w:style w:type="character" w:customStyle="1" w:styleId="report-content-info">
    <w:name w:val="report-content-info"/>
    <w:basedOn w:val="a0"/>
    <w:rsid w:val="00C0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o.kz/ru/DfoObjects/objects/teaser-view/25735?RevisionId=0&amp;PluginId=30735b3a096446d4adef7ac8c90deecf&amp;ReportId=60350370" TargetMode="External"/><Relationship Id="rId13" Type="http://schemas.openxmlformats.org/officeDocument/2006/relationships/hyperlink" Target="https://dfo.kz/ru/DfoObjects/objects/teaser-view/25735?RevisionId=0&amp;PluginId=30735b3a096446d4adef7ac8c90deecf&amp;ReportId=60346005" TargetMode="External"/><Relationship Id="rId18" Type="http://schemas.openxmlformats.org/officeDocument/2006/relationships/hyperlink" Target="https://dfo.kz/ru/DfoObjects/objects/teaser-view/25735?RevisionId=0&amp;PluginId=30735b3a096446d4adef7ac8c90deecf&amp;ReportId=60345063" TargetMode="External"/><Relationship Id="rId26" Type="http://schemas.openxmlformats.org/officeDocument/2006/relationships/hyperlink" Target="https://dfo.kz/ru/DfoObjects/objects/teaser-view/25735?RevisionId=0&amp;PluginId=30735b3a096446d4adef7ac8c90deecf&amp;ReportId=603398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fo.kz/ru/DfoObjects/objects/teaser-view/25735?RevisionId=0&amp;PluginId=30735b3a096446d4adef7ac8c90deecf&amp;ReportId=60342043" TargetMode="External"/><Relationship Id="rId7" Type="http://schemas.openxmlformats.org/officeDocument/2006/relationships/hyperlink" Target="https://dfo.kz/ru/DfoObjects/objects/teaser-view/25735?RevisionId=0&amp;PluginId=30735b3a096446d4adef7ac8c90deecf&amp;ReportId=60353641" TargetMode="External"/><Relationship Id="rId12" Type="http://schemas.openxmlformats.org/officeDocument/2006/relationships/hyperlink" Target="https://dfo.kz/ru/DfoObjects/objects/teaser-view/25735?RevisionId=0&amp;PluginId=30735b3a096446d4adef7ac8c90deecf&amp;ReportId=60347304" TargetMode="External"/><Relationship Id="rId17" Type="http://schemas.openxmlformats.org/officeDocument/2006/relationships/hyperlink" Target="https://dfo.kz/ru/DfoObjects/objects/teaser-view/25735?RevisionId=0&amp;PluginId=30735b3a096446d4adef7ac8c90deecf&amp;ReportId=60345271" TargetMode="External"/><Relationship Id="rId25" Type="http://schemas.openxmlformats.org/officeDocument/2006/relationships/hyperlink" Target="https://dfo.kz/ru/DfoObjects/objects/teaser-view/25735?RevisionId=0&amp;PluginId=30735b3a096446d4adef7ac8c90deecf&amp;ReportId=603399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fo.kz/ru/DfoObjects/objects/teaser-view/25735?RevisionId=0&amp;PluginId=30735b3a096446d4adef7ac8c90deecf&amp;ReportId=60345511" TargetMode="External"/><Relationship Id="rId20" Type="http://schemas.openxmlformats.org/officeDocument/2006/relationships/hyperlink" Target="https://dfo.kz/ru/DfoObjects/objects/teaser-view/25735?RevisionId=0&amp;PluginId=30735b3a096446d4adef7ac8c90deecf&amp;ReportId=603438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fo.kz/ru/DfoObjects/objects/teaser-view/25735?RevisionId=0&amp;PluginId=30735b3a096446d4adef7ac8c90deecf&amp;ReportId=60356557" TargetMode="External"/><Relationship Id="rId11" Type="http://schemas.openxmlformats.org/officeDocument/2006/relationships/hyperlink" Target="https://dfo.kz/ru/DfoObjects/objects/teaser-view/25735?RevisionId=0&amp;PluginId=30735b3a096446d4adef7ac8c90deecf&amp;ReportId=60349487" TargetMode="External"/><Relationship Id="rId24" Type="http://schemas.openxmlformats.org/officeDocument/2006/relationships/hyperlink" Target="https://dfo.kz/ru/DfoObjects/objects/teaser-view/25735?RevisionId=0&amp;PluginId=30735b3a096446d4adef7ac8c90deecf&amp;ReportId=60340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fo.kz/ru/DfoObjects/objects/teaser-view/25735?RevisionId=0&amp;PluginId=30735b3a096446d4adef7ac8c90deecf&amp;ReportId=60345999" TargetMode="External"/><Relationship Id="rId23" Type="http://schemas.openxmlformats.org/officeDocument/2006/relationships/hyperlink" Target="https://dfo.kz/ru/DfoObjects/objects/teaser-view/25735?RevisionId=0&amp;PluginId=30735b3a096446d4adef7ac8c90deecf&amp;ReportId=603415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fo.kz/ru/DfoObjects/objects/teaser-view/25735?RevisionId=0&amp;PluginId=30735b3a096446d4adef7ac8c90deecf&amp;ReportId=60349490" TargetMode="External"/><Relationship Id="rId19" Type="http://schemas.openxmlformats.org/officeDocument/2006/relationships/hyperlink" Target="https://dfo.kz/ru/DfoObjects/objects/teaser-view/25735?RevisionId=0&amp;PluginId=30735b3a096446d4adef7ac8c90deecf&amp;ReportId=60343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fo.kz/ru/DfoObjects/objects/teaser-view/25735?RevisionId=0&amp;PluginId=30735b3a096446d4adef7ac8c90deecf&amp;ReportId=60349491" TargetMode="External"/><Relationship Id="rId14" Type="http://schemas.openxmlformats.org/officeDocument/2006/relationships/hyperlink" Target="https://dfo.kz/ru/DfoObjects/objects/teaser-view/25735?RevisionId=0&amp;PluginId=30735b3a096446d4adef7ac8c90deecf&amp;ReportId=60346002" TargetMode="External"/><Relationship Id="rId22" Type="http://schemas.openxmlformats.org/officeDocument/2006/relationships/hyperlink" Target="https://dfo.kz/ru/DfoObjects/objects/teaser-view/25735?RevisionId=0&amp;PluginId=30735b3a096446d4adef7ac8c90deecf&amp;ReportId=603416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 Тлеген Аканулы</dc:creator>
  <cp:keywords/>
  <dc:description/>
  <cp:lastModifiedBy>Абишев Тлеген Аканулы</cp:lastModifiedBy>
  <cp:revision>6</cp:revision>
  <dcterms:created xsi:type="dcterms:W3CDTF">2015-09-27T16:23:00Z</dcterms:created>
  <dcterms:modified xsi:type="dcterms:W3CDTF">2015-09-27T16:24:00Z</dcterms:modified>
</cp:coreProperties>
</file>